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CD" w:rsidRPr="00964792" w:rsidRDefault="00CE0FCD" w:rsidP="009E7CCE">
      <w:pPr>
        <w:pStyle w:val="slovannadpisZsnH"/>
        <w:rPr>
          <w:color w:val="000000" w:themeColor="text1"/>
        </w:rPr>
      </w:pPr>
    </w:p>
    <w:p w:rsidR="00CE0FCD" w:rsidRDefault="001C4875" w:rsidP="009E7CCE">
      <w:pPr>
        <w:pStyle w:val="slovannadpisZsnH"/>
      </w:pPr>
      <w:r>
        <w:t>Príloha č. 2</w:t>
      </w:r>
    </w:p>
    <w:p w:rsidR="00CE0FCD" w:rsidRDefault="00CE0FCD" w:rsidP="009E7CCE">
      <w:pPr>
        <w:pStyle w:val="slovannadpisZsnH"/>
      </w:pPr>
    </w:p>
    <w:p w:rsidR="00CE0FCD" w:rsidRPr="00964792" w:rsidRDefault="00865F65">
      <w:pPr>
        <w:jc w:val="center"/>
        <w:rPr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ZMLUVA  OPĽZ č</w:t>
      </w:r>
      <w:r w:rsidRPr="00555FD6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. </w:t>
      </w:r>
      <w:r w:rsidR="004F5658" w:rsidRPr="009647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k-SK"/>
        </w:rPr>
        <w:t>0</w:t>
      </w:r>
      <w:r w:rsidR="00AA747F" w:rsidRPr="009647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k-SK"/>
        </w:rPr>
        <w:t>2</w:t>
      </w:r>
      <w:r w:rsidR="001C4875" w:rsidRPr="009647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k-SK"/>
        </w:rPr>
        <w:t>/202</w:t>
      </w:r>
      <w:r w:rsidR="00AA747F" w:rsidRPr="0096479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k-SK"/>
        </w:rPr>
        <w:t>1</w:t>
      </w:r>
    </w:p>
    <w:p w:rsidR="00CE0FCD" w:rsidRDefault="001C4875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(uzavretá podľa § 409 a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nasl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. zákona č. 513/1991 Zb. Obchodného zákonníka v znení neskorších predpisov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sk-SK"/>
        </w:rPr>
        <w:t>)</w:t>
      </w:r>
    </w:p>
    <w:p w:rsidR="00CE0FCD" w:rsidRDefault="00CE0FCD">
      <w:pPr>
        <w:jc w:val="center"/>
        <w:rPr>
          <w:lang w:eastAsia="sk-SK"/>
        </w:rPr>
      </w:pPr>
    </w:p>
    <w:p w:rsidR="00CE0FCD" w:rsidRDefault="00CE0FCD">
      <w:pPr>
        <w:jc w:val="right"/>
        <w:rPr>
          <w:rFonts w:asciiTheme="minorHAnsi" w:eastAsia="Times New Roman" w:hAnsiTheme="minorHAnsi" w:cstheme="minorHAnsi"/>
          <w:b/>
          <w:sz w:val="22"/>
          <w:lang w:eastAsia="sk-SK"/>
        </w:rPr>
      </w:pPr>
      <w:bookmarkStart w:id="0" w:name="_GoBack"/>
      <w:bookmarkEnd w:id="0"/>
    </w:p>
    <w:p w:rsidR="00CE0FCD" w:rsidRDefault="00FE4465" w:rsidP="00FE4465">
      <w:pPr>
        <w:jc w:val="left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FE4465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Predávajúci: </w:t>
      </w:r>
    </w:p>
    <w:p w:rsidR="00FE4465" w:rsidRPr="00FE4465" w:rsidRDefault="00FE4465" w:rsidP="009E7CCE">
      <w:pPr>
        <w:pStyle w:val="slovannadpisZsnH"/>
      </w:pPr>
    </w:p>
    <w:p w:rsidR="00CE0FCD" w:rsidRDefault="001C4875" w:rsidP="00246877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Obchodné meno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 xml:space="preserve">:  </w:t>
      </w:r>
    </w:p>
    <w:p w:rsidR="00CE0FCD" w:rsidRDefault="001C4875" w:rsidP="00246877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so sídlom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 xml:space="preserve">: </w:t>
      </w:r>
    </w:p>
    <w:p w:rsidR="00CE0FCD" w:rsidRDefault="001C4875" w:rsidP="00246877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zastúpená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 xml:space="preserve">: </w:t>
      </w:r>
    </w:p>
    <w:p w:rsidR="00CE0FCD" w:rsidRDefault="001C4875" w:rsidP="00246877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</w:t>
      </w:r>
    </w:p>
    <w:p w:rsidR="00CE0FCD" w:rsidRDefault="001C4875" w:rsidP="00246877">
      <w:pPr>
        <w:rPr>
          <w:rFonts w:asciiTheme="minorHAnsi" w:eastAsia="Times New Roman" w:hAnsiTheme="minorHAnsi" w:cstheme="minorHAnsi"/>
          <w:color w:val="00B05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DIČ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 xml:space="preserve">: </w:t>
      </w:r>
    </w:p>
    <w:p w:rsidR="00CE0FCD" w:rsidRDefault="001C4875" w:rsidP="00246877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color w:val="000000"/>
          <w:lang w:eastAsia="sk-SK"/>
        </w:rPr>
        <w:t>Platca DPH</w:t>
      </w:r>
      <w:r>
        <w:rPr>
          <w:color w:val="000000"/>
          <w:lang w:eastAsia="sk-SK"/>
        </w:rPr>
        <w:tab/>
      </w:r>
      <w:r>
        <w:rPr>
          <w:color w:val="000000"/>
          <w:lang w:eastAsia="sk-SK"/>
        </w:rPr>
        <w:tab/>
        <w:t>:</w:t>
      </w:r>
    </w:p>
    <w:p w:rsidR="00CE0FCD" w:rsidRDefault="001C4875" w:rsidP="00246877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Bankové spojenie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</w:t>
      </w:r>
    </w:p>
    <w:p w:rsidR="00246877" w:rsidRDefault="001C4875" w:rsidP="00246877">
      <w:pPr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Číslo účtu v tvare IBAN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</w:t>
      </w:r>
    </w:p>
    <w:p w:rsidR="00246877" w:rsidRPr="00246877" w:rsidRDefault="00246877" w:rsidP="00246877">
      <w:pPr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t>e-mail</w:t>
      </w:r>
      <w:r w:rsidR="00F81ECE">
        <w:tab/>
      </w:r>
      <w:r w:rsidR="00F81ECE">
        <w:tab/>
      </w:r>
      <w:r w:rsidR="00F81ECE">
        <w:tab/>
      </w:r>
      <w:r>
        <w:t>:</w:t>
      </w:r>
    </w:p>
    <w:p w:rsidR="00CE0FCD" w:rsidRDefault="001C4875" w:rsidP="00246877">
      <w:pPr>
        <w:spacing w:after="1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adresa hlavnej stránky </w:t>
      </w:r>
      <w:r w:rsidR="00FE4465">
        <w:rPr>
          <w:rFonts w:asciiTheme="minorHAnsi" w:hAnsiTheme="minorHAnsi"/>
          <w:color w:val="000000"/>
          <w:sz w:val="22"/>
        </w:rPr>
        <w:t xml:space="preserve">predávajúceho (URL): </w:t>
      </w:r>
    </w:p>
    <w:p w:rsidR="00CE0FCD" w:rsidRDefault="00CE0FCD">
      <w:pPr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CE0FCD" w:rsidRDefault="001C4875">
      <w:pPr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(ďalej len "predávajúci")</w:t>
      </w:r>
    </w:p>
    <w:p w:rsidR="00CE0FCD" w:rsidRDefault="00CE0FCD">
      <w:pPr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CE0FCD" w:rsidRDefault="00486853">
      <w:pPr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A</w:t>
      </w:r>
    </w:p>
    <w:p w:rsidR="00486853" w:rsidRPr="00486853" w:rsidRDefault="00486853" w:rsidP="009E7CCE">
      <w:pPr>
        <w:pStyle w:val="slovannadpisZsnH"/>
      </w:pPr>
    </w:p>
    <w:p w:rsidR="00CE0FCD" w:rsidRPr="00486853" w:rsidRDefault="00FE4465" w:rsidP="00486853">
      <w:pPr>
        <w:jc w:val="left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486853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Kupujúci: </w:t>
      </w:r>
    </w:p>
    <w:p w:rsidR="00FE4465" w:rsidRPr="00486853" w:rsidRDefault="00FE4465" w:rsidP="00486853">
      <w:pPr>
        <w:jc w:val="left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</w:p>
    <w:p w:rsidR="00CE0FCD" w:rsidRDefault="001C4875">
      <w:pPr>
        <w:jc w:val="left"/>
        <w:rPr>
          <w:rFonts w:asciiTheme="minorHAnsi" w:eastAsia="Times New Roman" w:hAnsiTheme="minorHAnsi" w:cstheme="minorHAnsi"/>
          <w:b/>
          <w:sz w:val="22"/>
          <w:lang w:eastAsia="sk-SK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Gymnázium, Komenského 32, Trebišov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so sídlom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Komenského 32, 075 01 Trebišov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zastúpená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PaedDr. Mária Kašaiová, riaditeľka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00 161 241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DIČ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20 20 749 863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Bankové spojenie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Štátna pokladnica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Číslo účtu v tvare IBAN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 xml:space="preserve">: </w:t>
      </w:r>
      <w:r>
        <w:rPr>
          <w:rFonts w:asciiTheme="minorHAnsi" w:eastAsia="Times New Roman" w:hAnsiTheme="minorHAnsi" w:cstheme="minorHAnsi"/>
          <w:sz w:val="22"/>
          <w:lang w:eastAsia="sk-SK"/>
        </w:rPr>
        <w:t>Sk56 8180 0000 0070 0018 9343</w:t>
      </w:r>
    </w:p>
    <w:p w:rsidR="00CE0FCD" w:rsidRDefault="001C4875">
      <w:pPr>
        <w:jc w:val="left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0000"/>
        </w:rPr>
        <w:t>Kód ITMS 2014+</w:t>
      </w:r>
      <w:r>
        <w:rPr>
          <w:rFonts w:asciiTheme="minorHAnsi" w:eastAsia="Times New Roman" w:hAnsiTheme="minorHAnsi" w:cstheme="minorHAnsi"/>
          <w:b/>
          <w:bCs/>
          <w:color w:val="000000"/>
          <w:spacing w:val="20"/>
          <w:sz w:val="22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sk-SK"/>
        </w:rPr>
        <w:t>:</w:t>
      </w:r>
      <w:r>
        <w:rPr>
          <w:rFonts w:asciiTheme="minorHAnsi" w:hAnsiTheme="minorHAnsi" w:cstheme="minorHAnsi"/>
          <w:color w:val="000000"/>
        </w:rPr>
        <w:t xml:space="preserve"> 312011U093</w:t>
      </w:r>
    </w:p>
    <w:p w:rsidR="00CE0FCD" w:rsidRDefault="001C4875">
      <w:pPr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Miesto realizácie projektu: Gymnázium, Komenského 32, Trebišov</w:t>
      </w:r>
    </w:p>
    <w:p w:rsidR="00FE4465" w:rsidRDefault="00FE4465" w:rsidP="00FE4465">
      <w:pPr>
        <w:spacing w:after="160" w:line="259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adresa hlavnej stránky verejného obstarávateľa (URL): </w:t>
      </w:r>
      <w:hyperlink r:id="rId8" w:history="1">
        <w:r w:rsidRPr="009C2739">
          <w:rPr>
            <w:rStyle w:val="Hypertextovprepojenie"/>
            <w:rFonts w:asciiTheme="minorHAnsi" w:hAnsiTheme="minorHAnsi"/>
            <w:sz w:val="22"/>
          </w:rPr>
          <w:t>https://www.gymtv.sk/</w:t>
        </w:r>
      </w:hyperlink>
    </w:p>
    <w:p w:rsidR="00CE0FCD" w:rsidRPr="00FE4465" w:rsidRDefault="001C4875" w:rsidP="00FE4465">
      <w:pPr>
        <w:spacing w:after="160" w:line="259" w:lineRule="auto"/>
        <w:jc w:val="left"/>
        <w:rPr>
          <w:rFonts w:asciiTheme="minorHAnsi" w:hAnsiTheme="minorHAnsi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Číslo zmluvy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OPĽZ/311/2019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:rsidR="00CE0FCD" w:rsidRDefault="001C4875">
      <w:pPr>
        <w:jc w:val="left"/>
        <w:rPr>
          <w:rFonts w:asciiTheme="minorHAnsi" w:eastAsia="Times New Roman" w:hAnsiTheme="minorHAnsi" w:cstheme="minorHAnsi"/>
          <w:color w:val="00B05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Operačný program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 312000 – Operačný program Ľudské zdroje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color w:val="00B05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Spolufinancovaný fondom: Európsky sociálny fond</w:t>
      </w:r>
    </w:p>
    <w:p w:rsidR="00CE0FCD" w:rsidRDefault="001C4875">
      <w:pPr>
        <w:jc w:val="left"/>
        <w:rPr>
          <w:rFonts w:asciiTheme="minorHAnsi" w:eastAsia="Times New Roman" w:hAnsiTheme="minorHAnsi" w:cstheme="minorHAnsi"/>
          <w:color w:val="00B05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Názov projektu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  <w:t>:</w:t>
      </w:r>
      <w:r>
        <w:rPr>
          <w:color w:val="000000"/>
        </w:rPr>
        <w:t xml:space="preserve"> Rozvíjanie matematickej, finančnej, čitateľskej a prírodovednej gramotnosti – nevyhnutný predpoklad na rozvíjanie kľúčových kompetencií a získavanie praktických a profesijných zručností žiakov Gymnázia v Trebišove.</w:t>
      </w:r>
    </w:p>
    <w:p w:rsidR="00CE0FCD" w:rsidRDefault="00CE0FCD">
      <w:pPr>
        <w:jc w:val="left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CE0FCD" w:rsidRDefault="00CE0FCD">
      <w:pPr>
        <w:jc w:val="left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CE0FCD" w:rsidRDefault="001C4875">
      <w:pPr>
        <w:jc w:val="left"/>
        <w:rPr>
          <w:rFonts w:asciiTheme="minorHAnsi" w:eastAsia="Times New Roman" w:hAnsiTheme="minorHAnsi" w:cstheme="minorHAnsi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(ďalej len "kupujúci")</w:t>
      </w:r>
    </w:p>
    <w:p w:rsidR="00CE0FCD" w:rsidRDefault="00CE0FCD">
      <w:pPr>
        <w:jc w:val="left"/>
        <w:rPr>
          <w:rFonts w:eastAsia="Times New Roman" w:cs="Times New Roman"/>
          <w:sz w:val="22"/>
          <w:lang w:eastAsia="sk-SK"/>
        </w:rPr>
      </w:pPr>
    </w:p>
    <w:p w:rsidR="00CE0FCD" w:rsidRDefault="00CE0FCD" w:rsidP="009E7CCE">
      <w:pPr>
        <w:pStyle w:val="slovannadpisZsnH"/>
      </w:pPr>
    </w:p>
    <w:p w:rsidR="00CE0FCD" w:rsidRDefault="00CE0FCD" w:rsidP="009E7CCE">
      <w:pPr>
        <w:pStyle w:val="slovannadpisZsnH"/>
      </w:pPr>
    </w:p>
    <w:p w:rsidR="00CE0FCD" w:rsidRDefault="00CE0FCD" w:rsidP="009E7CCE">
      <w:pPr>
        <w:pStyle w:val="slovannadpisZsnH"/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1.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Predmet plnenia</w:t>
      </w:r>
    </w:p>
    <w:p w:rsidR="00FE4465" w:rsidRPr="00FE4465" w:rsidRDefault="00FE4465" w:rsidP="00FE4465">
      <w:pPr>
        <w:spacing w:after="120" w:line="274" w:lineRule="exact"/>
        <w:ind w:left="460"/>
        <w:jc w:val="left"/>
        <w:rPr>
          <w:rFonts w:ascii="Calibri" w:eastAsia="Calibri" w:hAnsi="Calibri" w:cs="Calibri"/>
          <w:sz w:val="22"/>
        </w:rPr>
      </w:pPr>
    </w:p>
    <w:p w:rsidR="00FE4465" w:rsidRPr="00FE4465" w:rsidRDefault="00FE4465" w:rsidP="00FE4465">
      <w:pPr>
        <w:spacing w:after="120" w:line="274" w:lineRule="exact"/>
        <w:ind w:left="460"/>
        <w:jc w:val="left"/>
        <w:rPr>
          <w:b/>
          <w:spacing w:val="-1"/>
        </w:rPr>
      </w:pPr>
    </w:p>
    <w:p w:rsidR="0037536C" w:rsidRPr="0037536C" w:rsidRDefault="0037536C" w:rsidP="0037536C">
      <w:pPr>
        <w:widowControl w:val="0"/>
        <w:tabs>
          <w:tab w:val="left" w:pos="1452"/>
        </w:tabs>
        <w:suppressAutoHyphens/>
        <w:rPr>
          <w:spacing w:val="-1"/>
        </w:rPr>
      </w:pPr>
      <w:r w:rsidRPr="0037536C">
        <w:rPr>
          <w:b/>
          <w:spacing w:val="-1"/>
        </w:rPr>
        <w:t xml:space="preserve"> „</w:t>
      </w:r>
      <w:r w:rsidRPr="0037536C">
        <w:rPr>
          <w:spacing w:val="-1"/>
        </w:rPr>
        <w:t>Školiaci materiál a potreby I</w:t>
      </w:r>
      <w:r w:rsidR="004F5658">
        <w:rPr>
          <w:spacing w:val="-1"/>
        </w:rPr>
        <w:t>I</w:t>
      </w:r>
      <w:r w:rsidRPr="0037536C">
        <w:rPr>
          <w:spacing w:val="-1"/>
        </w:rPr>
        <w:t xml:space="preserve">. “ </w:t>
      </w:r>
      <w:r w:rsidR="00FE4465" w:rsidRPr="00FE4465">
        <w:rPr>
          <w:spacing w:val="-1"/>
        </w:rPr>
        <w:t xml:space="preserve">k projektu </w:t>
      </w:r>
      <w:r w:rsidRPr="0037536C">
        <w:rPr>
          <w:spacing w:val="-1"/>
        </w:rPr>
        <w:t xml:space="preserve">„Rozvíjanie matematickej, finančnej, čitateľskej a prírodovednej gramotnosti – nevyhnutný predpoklad na rozvíjanie kľúčových kompetencií a získavanie praktických a profesijných zručností žiakov Gymnázia v Trebišove“, </w:t>
      </w:r>
    </w:p>
    <w:p w:rsidR="00FE4465" w:rsidRPr="00FE4465" w:rsidRDefault="00FE4465" w:rsidP="0037536C">
      <w:pPr>
        <w:spacing w:after="120" w:line="274" w:lineRule="exact"/>
        <w:ind w:left="460"/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1.1 Predávajúci sa zaväzuje: 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Dodať kupujúcemu </w:t>
      </w:r>
      <w:r w:rsidR="0037536C" w:rsidRPr="0037536C">
        <w:rPr>
          <w:b/>
          <w:spacing w:val="-1"/>
        </w:rPr>
        <w:t xml:space="preserve"> „</w:t>
      </w:r>
      <w:r w:rsidR="0037536C" w:rsidRPr="0037536C">
        <w:rPr>
          <w:spacing w:val="-1"/>
        </w:rPr>
        <w:t>Školiaci materiál a potreby I</w:t>
      </w:r>
      <w:r w:rsidR="004F5658">
        <w:rPr>
          <w:spacing w:val="-1"/>
        </w:rPr>
        <w:t>I</w:t>
      </w:r>
      <w:r w:rsidR="0037536C" w:rsidRPr="0037536C">
        <w:rPr>
          <w:spacing w:val="-1"/>
        </w:rPr>
        <w:t>. “</w:t>
      </w:r>
      <w:r w:rsidR="00683209">
        <w:rPr>
          <w:rFonts w:ascii="Calibri" w:eastAsia="Times New Roman" w:hAnsi="Calibri" w:cs="Times New Roman"/>
          <w:sz w:val="22"/>
          <w:lang w:eastAsia="sk-SK"/>
        </w:rPr>
        <w:t>-  v zmysle cenovej ponuky (</w:t>
      </w:r>
      <w:r w:rsidR="0037536C">
        <w:rPr>
          <w:rFonts w:ascii="Calibri" w:eastAsia="Times New Roman" w:hAnsi="Calibri" w:cs="Times New Roman"/>
          <w:sz w:val="22"/>
          <w:lang w:eastAsia="sk-SK"/>
        </w:rPr>
        <w:t xml:space="preserve">Príloha </w:t>
      </w:r>
      <w:r w:rsidR="00246877" w:rsidRPr="00F46CB9">
        <w:rPr>
          <w:rFonts w:ascii="Calibri" w:hAnsi="Calibri" w:cs="Calibri"/>
        </w:rPr>
        <w:t>č.</w:t>
      </w:r>
      <w:r w:rsidR="004F5658">
        <w:rPr>
          <w:rFonts w:ascii="Calibri" w:hAnsi="Calibri" w:cs="Calibri"/>
        </w:rPr>
        <w:t>1</w:t>
      </w:r>
      <w:r w:rsidR="00683209">
        <w:rPr>
          <w:rFonts w:ascii="Calibri" w:eastAsia="Times New Roman" w:hAnsi="Calibri" w:cs="Times New Roman"/>
          <w:sz w:val="22"/>
          <w:lang w:eastAsia="sk-SK"/>
        </w:rPr>
        <w:t>), ktoré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tvor</w:t>
      </w:r>
      <w:r w:rsidR="004F5658">
        <w:rPr>
          <w:rFonts w:ascii="Calibri" w:eastAsia="Times New Roman" w:hAnsi="Calibri" w:cs="Times New Roman"/>
          <w:sz w:val="22"/>
          <w:lang w:eastAsia="sk-SK"/>
        </w:rPr>
        <w:t>ia prílohu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 </w:t>
      </w:r>
      <w:r w:rsidR="004F5658">
        <w:rPr>
          <w:rFonts w:ascii="Calibri" w:hAnsi="Calibri" w:cs="Calibri"/>
        </w:rPr>
        <w:t xml:space="preserve">č. 1 </w:t>
      </w:r>
      <w:r w:rsidRPr="00FE4465">
        <w:rPr>
          <w:rFonts w:ascii="Calibri" w:eastAsia="Times New Roman" w:hAnsi="Calibri" w:cs="Times New Roman"/>
          <w:sz w:val="22"/>
          <w:lang w:eastAsia="sk-SK"/>
        </w:rPr>
        <w:t>Kúpnej zmluvy   a previesť naňho vlastnícke práva k nemu.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1.2 Kupujúci sa zaväzuje dodaný tovar prijať a zaplatiť zaň kúpnu cenu</w:t>
      </w:r>
      <w:r w:rsidR="0037536C">
        <w:rPr>
          <w:rFonts w:ascii="Calibri" w:eastAsia="Times New Roman" w:hAnsi="Calibri" w:cs="Times New Roman"/>
          <w:sz w:val="22"/>
          <w:lang w:eastAsia="sk-SK"/>
        </w:rPr>
        <w:t xml:space="preserve"> uvedenú v čl. 2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tejto zmluvy.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2.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Kúpna cena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2.1 Zmluvné strany dohodli cenu za predmet plnenia </w:t>
      </w:r>
      <w:r w:rsidR="0037536C" w:rsidRPr="0037536C">
        <w:rPr>
          <w:b/>
          <w:spacing w:val="-1"/>
        </w:rPr>
        <w:t xml:space="preserve"> „</w:t>
      </w:r>
      <w:r w:rsidR="0037536C" w:rsidRPr="0037536C">
        <w:rPr>
          <w:spacing w:val="-1"/>
        </w:rPr>
        <w:t xml:space="preserve">Školiaci materiál a potreby </w:t>
      </w:r>
      <w:r w:rsidR="00823EF8">
        <w:rPr>
          <w:spacing w:val="-1"/>
        </w:rPr>
        <w:t>I</w:t>
      </w:r>
      <w:r w:rsidR="0037536C" w:rsidRPr="0037536C">
        <w:rPr>
          <w:spacing w:val="-1"/>
        </w:rPr>
        <w:t>I. “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v súlade s výsledkom verejného obstarávania . 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A1649A" w:rsidRDefault="00823EF8" w:rsidP="00FE4465">
      <w:pPr>
        <w:rPr>
          <w:rFonts w:ascii="Calibri" w:eastAsia="Times New Roman" w:hAnsi="Calibri" w:cs="Times New Roman"/>
          <w:b/>
          <w:sz w:val="22"/>
          <w:u w:val="single"/>
          <w:lang w:eastAsia="sk-SK"/>
        </w:rPr>
      </w:pPr>
      <w:r>
        <w:rPr>
          <w:rFonts w:ascii="Calibri" w:eastAsia="Times New Roman" w:hAnsi="Calibri" w:cs="Times New Roman"/>
          <w:b/>
          <w:sz w:val="22"/>
          <w:u w:val="single"/>
          <w:lang w:eastAsia="sk-SK"/>
        </w:rPr>
        <w:t>Príloha č. 1: 5</w:t>
      </w:r>
      <w:r w:rsidR="003A4A43">
        <w:rPr>
          <w:rFonts w:ascii="Calibri" w:eastAsia="Times New Roman" w:hAnsi="Calibri" w:cs="Times New Roman"/>
          <w:b/>
          <w:sz w:val="22"/>
          <w:u w:val="single"/>
          <w:lang w:eastAsia="sk-SK"/>
        </w:rPr>
        <w:t>.5.2. Školiaci</w:t>
      </w:r>
      <w:r w:rsidR="00A1649A" w:rsidRPr="00A1649A">
        <w:rPr>
          <w:rFonts w:ascii="Calibri" w:eastAsia="Times New Roman" w:hAnsi="Calibri" w:cs="Times New Roman"/>
          <w:b/>
          <w:sz w:val="22"/>
          <w:u w:val="single"/>
          <w:lang w:eastAsia="sk-SK"/>
        </w:rPr>
        <w:t xml:space="preserve"> </w:t>
      </w:r>
      <w:r>
        <w:rPr>
          <w:rFonts w:ascii="Calibri" w:eastAsia="Times New Roman" w:hAnsi="Calibri" w:cs="Times New Roman"/>
          <w:b/>
          <w:sz w:val="22"/>
          <w:u w:val="single"/>
          <w:lang w:eastAsia="sk-SK"/>
        </w:rPr>
        <w:t xml:space="preserve">materiál a potreby II. </w:t>
      </w:r>
    </w:p>
    <w:p w:rsidR="00FE4465" w:rsidRPr="00FE4465" w:rsidRDefault="00FE4465" w:rsidP="00FE4465">
      <w:pPr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 xml:space="preserve">                            Cena  bez DPH ............................................................... €</w:t>
      </w:r>
    </w:p>
    <w:p w:rsidR="00FE4465" w:rsidRPr="00FE4465" w:rsidRDefault="00FE4465" w:rsidP="00FE4465">
      <w:pPr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 xml:space="preserve">                            DPH </w:t>
      </w:r>
      <w:r w:rsidR="00EB4FF2">
        <w:rPr>
          <w:rFonts w:ascii="Calibri" w:eastAsia="Times New Roman" w:hAnsi="Calibri" w:cs="Times New Roman"/>
          <w:b/>
          <w:sz w:val="22"/>
          <w:lang w:eastAsia="sk-SK"/>
        </w:rPr>
        <w:t>.....</w:t>
      </w:r>
      <w:r w:rsidRPr="00FE4465">
        <w:rPr>
          <w:rFonts w:ascii="Calibri" w:eastAsia="Times New Roman" w:hAnsi="Calibri" w:cs="Times New Roman"/>
          <w:b/>
          <w:sz w:val="22"/>
          <w:lang w:eastAsia="sk-SK"/>
        </w:rPr>
        <w:t>% ........................................................................€</w:t>
      </w:r>
    </w:p>
    <w:p w:rsidR="00FE4465" w:rsidRDefault="00FE4465" w:rsidP="00FE4465">
      <w:pPr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 xml:space="preserve">                            Celková cena zákazky s DPH ...........................................€</w:t>
      </w:r>
    </w:p>
    <w:p w:rsidR="00A1649A" w:rsidRPr="00A1649A" w:rsidRDefault="00A1649A" w:rsidP="009E7CCE">
      <w:pPr>
        <w:pStyle w:val="slovannadpisZsnH"/>
      </w:pPr>
    </w:p>
    <w:p w:rsidR="00FE4465" w:rsidRPr="00FE4465" w:rsidRDefault="00FE4465" w:rsidP="00FE4465">
      <w:pPr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2.2 Dohodnutá cena je konečná, sú v nej zahrnuté všetky náklady </w:t>
      </w:r>
      <w:r w:rsidRPr="000B2DEA">
        <w:rPr>
          <w:rFonts w:ascii="Calibri" w:eastAsia="Times New Roman" w:hAnsi="Calibri" w:cs="Times New Roman"/>
          <w:b/>
          <w:sz w:val="22"/>
          <w:lang w:eastAsia="sk-SK"/>
        </w:rPr>
        <w:t>vrátane dovozu  do  sídla kupujúceho</w:t>
      </w:r>
      <w:r w:rsidRPr="00FE4465">
        <w:rPr>
          <w:rFonts w:ascii="Calibri" w:eastAsia="Times New Roman" w:hAnsi="Calibri" w:cs="Times New Roman"/>
          <w:sz w:val="22"/>
          <w:lang w:eastAsia="sk-SK"/>
        </w:rPr>
        <w:t>, cenu nie je možné meniť.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3.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Doba plnenia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0C4722" w:rsidRDefault="00FE4465" w:rsidP="00FE4465">
      <w:pPr>
        <w:rPr>
          <w:rFonts w:ascii="Calibri" w:eastAsia="Times New Roman" w:hAnsi="Calibri" w:cs="Calibri"/>
          <w:spacing w:val="1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3.1 Predávajúci sa zaväzuje dodať kupujúcemu predmet plnenia </w:t>
      </w:r>
      <w:r w:rsidR="0037536C" w:rsidRPr="0037536C">
        <w:rPr>
          <w:b/>
          <w:spacing w:val="-1"/>
        </w:rPr>
        <w:t xml:space="preserve"> „</w:t>
      </w:r>
      <w:r w:rsidR="0037536C" w:rsidRPr="0037536C">
        <w:rPr>
          <w:spacing w:val="-1"/>
        </w:rPr>
        <w:t>Školiaci materiál a potreby I</w:t>
      </w:r>
      <w:r w:rsidR="00823EF8">
        <w:rPr>
          <w:spacing w:val="-1"/>
        </w:rPr>
        <w:t>I</w:t>
      </w:r>
      <w:r w:rsidR="0037536C" w:rsidRPr="0037536C">
        <w:rPr>
          <w:spacing w:val="-1"/>
        </w:rPr>
        <w:t>. “</w:t>
      </w:r>
      <w:r w:rsidR="00823EF8">
        <w:rPr>
          <w:rFonts w:ascii="Calibri" w:eastAsia="Times New Roman" w:hAnsi="Calibri" w:cs="Calibri"/>
          <w:sz w:val="22"/>
          <w:lang w:eastAsia="sk-SK"/>
        </w:rPr>
        <w:t>do 1 mesiaca</w:t>
      </w:r>
      <w:r w:rsidR="00AA747F">
        <w:rPr>
          <w:rFonts w:ascii="Calibri" w:eastAsia="Times New Roman" w:hAnsi="Calibri" w:cs="Calibri"/>
          <w:spacing w:val="24"/>
          <w:sz w:val="22"/>
          <w:lang w:eastAsia="sk-SK"/>
        </w:rPr>
        <w:t>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4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Miesto plnenia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4.1 Miestom plnenia je sídlo kupujúceho na adrese: </w:t>
      </w:r>
      <w:r w:rsidR="0037536C">
        <w:rPr>
          <w:rFonts w:ascii="Calibri" w:eastAsia="Times New Roman" w:hAnsi="Calibri" w:cs="Times New Roman"/>
          <w:sz w:val="22"/>
          <w:lang w:eastAsia="sk-SK"/>
        </w:rPr>
        <w:t>Gymnázium, Komenského 32, 075 01 Trebišov.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5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Nadobudnutie vlastníckeho práva na tovar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5.1 Kupujúci nadobúda vlastnícke právo na tovar po jeho dodaní a odovzdaní predávajúcim, v okamihu jeho úplného zaplatenia.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6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Nedostatky plnenia , reklamácia</w:t>
      </w:r>
    </w:p>
    <w:p w:rsidR="00FE4465" w:rsidRPr="00FE4465" w:rsidRDefault="00FE4465" w:rsidP="00FE4465">
      <w:pPr>
        <w:jc w:val="center"/>
        <w:rPr>
          <w:rFonts w:ascii="Arial" w:eastAsia="Times New Roman" w:hAnsi="Arial" w:cs="Times New Roman"/>
          <w:b/>
          <w:sz w:val="22"/>
          <w:lang w:eastAsia="ar-SA"/>
        </w:rPr>
      </w:pPr>
    </w:p>
    <w:p w:rsidR="00FE4465" w:rsidRPr="00FE4465" w:rsidRDefault="00FE4465" w:rsidP="00FE4465">
      <w:pPr>
        <w:spacing w:after="120"/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6.1. Pri prevzatí tovaru  od predávajúceho  je kupujúci povinný ho prekontrolovať a tovar viditeľne poškodený vrátiť ihneď späť a vystaviť dodací list. V prípade nezdokumentovania rozsahu poškodenia tovaru kupujúcemu zaniká právo na reklamáciu a predávajúci vystaví faktúru, ktorú musí kupujúci bezodkladne uhradiť.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ar-SA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ar-SA"/>
        </w:rPr>
      </w:pPr>
      <w:r w:rsidRPr="00FE4465">
        <w:rPr>
          <w:rFonts w:ascii="Calibri" w:eastAsia="Times New Roman" w:hAnsi="Calibri" w:cs="Times New Roman"/>
          <w:sz w:val="22"/>
          <w:lang w:eastAsia="ar-SA"/>
        </w:rPr>
        <w:t xml:space="preserve">6.2. Skryté kvantitatívne a kvalitatívne chyby predávaného tovaru  oznámi kupujúci predávajúcemu do 10 dní od ich zistenia, prípadne od ich vrátenia späť (reklamácie) treťou osobou. 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ar-SA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ar-SA"/>
        </w:rPr>
      </w:pPr>
      <w:r w:rsidRPr="00FE4465">
        <w:rPr>
          <w:rFonts w:ascii="Calibri" w:eastAsia="Times New Roman" w:hAnsi="Calibri" w:cs="Times New Roman"/>
          <w:sz w:val="22"/>
          <w:lang w:eastAsia="ar-SA"/>
        </w:rPr>
        <w:t>6.3. Chybný tovar s riadnym označením jeho poškodenia odovzdá kupujúci predávajúcemu a ten tovar vo svojom vlastníctve preberie späť. O jeho vrátení kupujúci vyhotoví dodací list podľa jednotlivých druhov a ich množstva. Ich prevzatie predávajúci na tomto liste potvrdí. Chybný tovar, ktorý prešiel do vlastníctva kupujúceho, predávajúci vymení, pokiaľ sa zmluvné strany nedohodnú inak.</w:t>
      </w:r>
    </w:p>
    <w:p w:rsidR="00FE4465" w:rsidRPr="00FE4465" w:rsidRDefault="00FE4465" w:rsidP="00FE4465">
      <w:pPr>
        <w:ind w:right="72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 xml:space="preserve"> Čl. 7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Platobné podmienky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7.1 Právo na fakturovanie vzniká predávajúcemu riadnym splnením zmluvy - dodaním tovaru 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7.2 Faktúra vystavená predávajúcim musí spĺňať všetky náležitosti daňového dokladu.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7.3 Zmluvné strany sa dohodli na lehote splatnosti faktúry do </w:t>
      </w:r>
      <w:r w:rsidRPr="00246877">
        <w:rPr>
          <w:rFonts w:ascii="Calibri" w:eastAsia="Times New Roman" w:hAnsi="Calibri" w:cs="Times New Roman"/>
          <w:sz w:val="22"/>
          <w:lang w:eastAsia="sk-SK"/>
        </w:rPr>
        <w:t xml:space="preserve">30 </w:t>
      </w:r>
      <w:r w:rsidRPr="00FE4465">
        <w:rPr>
          <w:rFonts w:ascii="Calibri" w:eastAsia="Times New Roman" w:hAnsi="Calibri" w:cs="Times New Roman"/>
          <w:sz w:val="22"/>
          <w:lang w:eastAsia="sk-SK"/>
        </w:rPr>
        <w:t>dní odo dňa doručenia.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7.4 Kupujúci neposkytuje predávajúcemu zálohu na predmet plnenia.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7.5 Kupujúci je povinný zaplatiť predávajúcemu fakturovanú čiastku v lehote jej splatnosti. 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8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Zmluvné pokuty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8.1 V prípade, že predávajúci nedodrží lehotu plnenia dohodnutú v tejto zmluve, má kupujúci právo odstúpiť od zmluvy a požadovať od predávajúceho zaplatenie zmluvnej pokuty vo výške 1 % z dohodnutej ceny, ktorú mu je predávajúci povinný zaplatiť.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8.2 V prípade oneskorenia kupujúceho s platením faktúry má predávajúci právo požadovať od kupujúceho zmluvnú pokutu vo výške 0,05 % z nezaplatenej čiastky za každý deň omeškania.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8.3 Uplatnením zmluvnej pokuty nie je dotknuté právo na náhradu škody ktoroukoľvek zmluvnou stranou.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9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Doklady potrebné na prevzatie a užívanie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9.1 Za doklady potrebné na prevzatie tovaru </w:t>
      </w:r>
      <w:r w:rsidR="0037536C">
        <w:rPr>
          <w:rFonts w:ascii="Calibri" w:eastAsia="Times New Roman" w:hAnsi="Calibri" w:cs="Times New Roman"/>
          <w:sz w:val="22"/>
          <w:lang w:eastAsia="sk-SK"/>
        </w:rPr>
        <w:t xml:space="preserve"> a splnenie zmluvy sa považuje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dodací list podpísaný kupujúcim . 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10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Osobitné dojednania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spacing w:after="120"/>
        <w:ind w:right="207"/>
        <w:jc w:val="left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10.1.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Dodávateľ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je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povinný</w:t>
      </w:r>
      <w:r w:rsidRPr="00FE4465">
        <w:rPr>
          <w:rFonts w:ascii="Calibri" w:eastAsia="Times New Roman" w:hAnsi="Calibri" w:cs="Calibri"/>
          <w:spacing w:val="-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strpieť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výkon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kontroly/auditu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súvisiaceho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s poskytnutím tovaru</w:t>
      </w:r>
      <w:r w:rsidRPr="00FE4465">
        <w:rPr>
          <w:rFonts w:ascii="Calibri" w:eastAsia="Times New Roman" w:hAnsi="Calibri" w:cs="Calibri"/>
          <w:spacing w:val="54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kedykoľvek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počas plnenia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predmetu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zákazky</w:t>
      </w:r>
      <w:r w:rsidRPr="00FE4465">
        <w:rPr>
          <w:rFonts w:ascii="Calibri" w:eastAsia="Times New Roman" w:hAnsi="Calibri" w:cs="Calibri"/>
          <w:spacing w:val="-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v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nevyhnutnej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dobe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aj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po ukončení zákazky</w:t>
      </w:r>
      <w:r w:rsidRPr="00FE4465">
        <w:rPr>
          <w:rFonts w:ascii="Calibri" w:eastAsia="Times New Roman" w:hAnsi="Calibri" w:cs="Calibri"/>
          <w:spacing w:val="56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poskytnúť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všetku potrebnú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súčinnosť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pri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výkone</w:t>
      </w: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kontroly/auditu.</w:t>
      </w:r>
    </w:p>
    <w:p w:rsidR="00FE4465" w:rsidRPr="00FE4465" w:rsidRDefault="00FE4465" w:rsidP="00FE4465">
      <w:pPr>
        <w:jc w:val="left"/>
        <w:rPr>
          <w:rFonts w:eastAsia="Times New Roman" w:cs="Calibri"/>
          <w:sz w:val="24"/>
          <w:szCs w:val="24"/>
          <w:lang w:eastAsia="sk-SK"/>
        </w:rPr>
      </w:pPr>
    </w:p>
    <w:p w:rsidR="00FE4465" w:rsidRPr="00FE4465" w:rsidRDefault="00FE4465" w:rsidP="00FE4465">
      <w:pPr>
        <w:spacing w:after="120"/>
        <w:ind w:left="173"/>
        <w:rPr>
          <w:rFonts w:ascii="Calibri" w:eastAsia="Times New Roman" w:hAnsi="Calibri" w:cs="Calibri"/>
          <w:b/>
          <w:i/>
          <w:sz w:val="22"/>
          <w:lang w:eastAsia="sk-SK"/>
        </w:rPr>
      </w:pPr>
      <w:r w:rsidRPr="00FE4465">
        <w:rPr>
          <w:rFonts w:ascii="Calibri" w:eastAsia="Times New Roman" w:hAnsi="Calibri" w:cs="Calibri"/>
          <w:b/>
          <w:i/>
          <w:spacing w:val="-1"/>
          <w:sz w:val="22"/>
          <w:lang w:eastAsia="sk-SK"/>
        </w:rPr>
        <w:t xml:space="preserve">Oprávnené </w:t>
      </w:r>
      <w:r w:rsidRPr="00FE4465">
        <w:rPr>
          <w:rFonts w:ascii="Calibri" w:eastAsia="Times New Roman" w:hAnsi="Calibri" w:cs="Calibri"/>
          <w:b/>
          <w:i/>
          <w:sz w:val="22"/>
          <w:lang w:eastAsia="sk-SK"/>
        </w:rPr>
        <w:t>osoby</w:t>
      </w:r>
      <w:r w:rsidRPr="00FE4465">
        <w:rPr>
          <w:rFonts w:ascii="Calibri" w:eastAsia="Times New Roman" w:hAnsi="Calibri" w:cs="Calibri"/>
          <w:b/>
          <w:i/>
          <w:spacing w:val="-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b/>
          <w:i/>
          <w:sz w:val="22"/>
          <w:lang w:eastAsia="sk-SK"/>
        </w:rPr>
        <w:t>sú:</w:t>
      </w:r>
    </w:p>
    <w:p w:rsidR="00FE4465" w:rsidRPr="00FE4465" w:rsidRDefault="00FE4465" w:rsidP="00FE4465">
      <w:pPr>
        <w:widowControl w:val="0"/>
        <w:numPr>
          <w:ilvl w:val="0"/>
          <w:numId w:val="3"/>
        </w:numPr>
        <w:tabs>
          <w:tab w:val="left" w:pos="306"/>
        </w:tabs>
        <w:spacing w:before="2" w:line="293" w:lineRule="exact"/>
        <w:jc w:val="left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Riadiaci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orgán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ním</w:t>
      </w: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poverené osoby,</w:t>
      </w:r>
    </w:p>
    <w:p w:rsidR="00FE4465" w:rsidRPr="00FE4465" w:rsidRDefault="00FE4465" w:rsidP="00FE4465">
      <w:pPr>
        <w:widowControl w:val="0"/>
        <w:numPr>
          <w:ilvl w:val="0"/>
          <w:numId w:val="3"/>
        </w:numPr>
        <w:tabs>
          <w:tab w:val="left" w:pos="306"/>
        </w:tabs>
        <w:spacing w:line="293" w:lineRule="exact"/>
        <w:jc w:val="left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Útvar následnej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finančnej</w:t>
      </w: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kontroly</w:t>
      </w:r>
      <w:r w:rsidRPr="00FE4465">
        <w:rPr>
          <w:rFonts w:ascii="Calibri" w:eastAsia="Times New Roman" w:hAnsi="Calibri" w:cs="Calibri"/>
          <w:spacing w:val="-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ním poverené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osoby,</w:t>
      </w:r>
    </w:p>
    <w:p w:rsidR="00FE4465" w:rsidRPr="00FE4465" w:rsidRDefault="00FE4465" w:rsidP="00FE4465">
      <w:pPr>
        <w:widowControl w:val="0"/>
        <w:numPr>
          <w:ilvl w:val="0"/>
          <w:numId w:val="3"/>
        </w:numPr>
        <w:tabs>
          <w:tab w:val="left" w:pos="306"/>
        </w:tabs>
        <w:spacing w:before="23" w:line="274" w:lineRule="exact"/>
        <w:ind w:right="112"/>
        <w:jc w:val="left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Najvyšší</w:t>
      </w:r>
      <w:r w:rsidRPr="00FE4465">
        <w:rPr>
          <w:rFonts w:ascii="Calibri" w:eastAsia="Times New Roman" w:hAnsi="Calibri" w:cs="Calibri"/>
          <w:spacing w:val="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kontrolný úrad</w:t>
      </w:r>
      <w:r w:rsidRPr="00FE4465">
        <w:rPr>
          <w:rFonts w:ascii="Calibri" w:eastAsia="Times New Roman" w:hAnsi="Calibri" w:cs="Calibri"/>
          <w:spacing w:val="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SR,</w:t>
      </w:r>
      <w:r w:rsidRPr="00FE4465">
        <w:rPr>
          <w:rFonts w:ascii="Calibri" w:eastAsia="Times New Roman" w:hAnsi="Calibri" w:cs="Calibri"/>
          <w:spacing w:val="2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Správa</w:t>
      </w: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finančnej</w:t>
      </w:r>
      <w:r w:rsidRPr="00FE4465">
        <w:rPr>
          <w:rFonts w:ascii="Calibri" w:eastAsia="Times New Roman" w:hAnsi="Calibri" w:cs="Calibri"/>
          <w:spacing w:val="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kontroly,</w:t>
      </w:r>
      <w:r w:rsidRPr="00FE4465">
        <w:rPr>
          <w:rFonts w:ascii="Calibri" w:eastAsia="Times New Roman" w:hAnsi="Calibri" w:cs="Calibri"/>
          <w:spacing w:val="2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Certifikačný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orgán</w:t>
      </w:r>
      <w:r w:rsidRPr="00FE4465">
        <w:rPr>
          <w:rFonts w:ascii="Calibri" w:eastAsia="Times New Roman" w:hAnsi="Calibri" w:cs="Calibri"/>
          <w:spacing w:val="3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ním</w:t>
      </w:r>
      <w:r w:rsidRPr="00FE4465">
        <w:rPr>
          <w:rFonts w:ascii="Calibri" w:eastAsia="Times New Roman" w:hAnsi="Calibri" w:cs="Calibri"/>
          <w:spacing w:val="3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poverené</w:t>
      </w:r>
      <w:r w:rsidRPr="00FE4465">
        <w:rPr>
          <w:rFonts w:ascii="Calibri" w:eastAsia="Times New Roman" w:hAnsi="Calibri" w:cs="Calibri"/>
          <w:spacing w:val="76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osoby,</w:t>
      </w:r>
    </w:p>
    <w:p w:rsidR="00FE4465" w:rsidRPr="00FE4465" w:rsidRDefault="00FE4465" w:rsidP="00FE4465">
      <w:pPr>
        <w:widowControl w:val="0"/>
        <w:numPr>
          <w:ilvl w:val="0"/>
          <w:numId w:val="3"/>
        </w:numPr>
        <w:tabs>
          <w:tab w:val="left" w:pos="306"/>
        </w:tabs>
        <w:spacing w:line="293" w:lineRule="exact"/>
        <w:jc w:val="left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Orgán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auditu,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jeho spolupracujúce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orgány</w:t>
      </w:r>
      <w:r w:rsidRPr="00FE4465">
        <w:rPr>
          <w:rFonts w:ascii="Calibri" w:eastAsia="Times New Roman" w:hAnsi="Calibri" w:cs="Calibri"/>
          <w:spacing w:val="-2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ním</w:t>
      </w: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poverené osoby,</w:t>
      </w:r>
    </w:p>
    <w:p w:rsidR="00FE4465" w:rsidRPr="00FE4465" w:rsidRDefault="00FE4465" w:rsidP="00FE4465">
      <w:pPr>
        <w:widowControl w:val="0"/>
        <w:numPr>
          <w:ilvl w:val="0"/>
          <w:numId w:val="3"/>
        </w:numPr>
        <w:tabs>
          <w:tab w:val="left" w:pos="306"/>
        </w:tabs>
        <w:spacing w:line="292" w:lineRule="exact"/>
        <w:jc w:val="left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Splnomocnení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zástupcovia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Európskej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komisie 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 xml:space="preserve"> Európskeho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dvora audítorov,</w:t>
      </w:r>
    </w:p>
    <w:p w:rsidR="00FE4465" w:rsidRPr="00FE4465" w:rsidRDefault="00FE4465" w:rsidP="00FE4465">
      <w:pPr>
        <w:spacing w:after="120"/>
        <w:ind w:left="161" w:right="112"/>
        <w:jc w:val="left"/>
        <w:rPr>
          <w:rFonts w:ascii="Calibri" w:eastAsia="Times New Roman" w:hAnsi="Calibri" w:cs="Calibri"/>
          <w:spacing w:val="-1"/>
          <w:sz w:val="22"/>
          <w:lang w:eastAsia="sk-SK"/>
        </w:rPr>
      </w:pPr>
      <w:r w:rsidRPr="00FE4465">
        <w:rPr>
          <w:rFonts w:ascii="Calibri" w:eastAsia="Times New Roman" w:hAnsi="Calibri" w:cs="Calibri"/>
          <w:sz w:val="22"/>
          <w:lang w:eastAsia="sk-SK"/>
        </w:rPr>
        <w:t xml:space="preserve">Osoby </w:t>
      </w:r>
      <w:r w:rsidRPr="00FE4465">
        <w:rPr>
          <w:rFonts w:ascii="Calibri" w:eastAsia="Times New Roman" w:hAnsi="Calibri" w:cs="Calibri"/>
          <w:spacing w:val="50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prizvané </w:t>
      </w:r>
      <w:r w:rsidRPr="00FE4465">
        <w:rPr>
          <w:rFonts w:ascii="Calibri" w:eastAsia="Times New Roman" w:hAnsi="Calibri" w:cs="Calibri"/>
          <w:spacing w:val="54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orgánmi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5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uvedenými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5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v</w:t>
      </w:r>
      <w:r w:rsidRPr="00FE4465">
        <w:rPr>
          <w:rFonts w:ascii="Calibri" w:eastAsia="Times New Roman" w:hAnsi="Calibri" w:cs="Calibri"/>
          <w:spacing w:val="3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tomto </w:t>
      </w:r>
      <w:r w:rsidRPr="00FE4465">
        <w:rPr>
          <w:rFonts w:ascii="Calibri" w:eastAsia="Times New Roman" w:hAnsi="Calibri" w:cs="Calibri"/>
          <w:spacing w:val="57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bode </w:t>
      </w:r>
      <w:r w:rsidRPr="00FE4465">
        <w:rPr>
          <w:rFonts w:ascii="Calibri" w:eastAsia="Times New Roman" w:hAnsi="Calibri" w:cs="Calibri"/>
          <w:spacing w:val="54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>v</w:t>
      </w:r>
      <w:r w:rsidRPr="00FE4465">
        <w:rPr>
          <w:rFonts w:ascii="Calibri" w:eastAsia="Times New Roman" w:hAnsi="Calibri" w:cs="Calibri"/>
          <w:spacing w:val="1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súlade </w:t>
      </w:r>
      <w:r w:rsidRPr="00FE4465">
        <w:rPr>
          <w:rFonts w:ascii="Calibri" w:eastAsia="Times New Roman" w:hAnsi="Calibri" w:cs="Calibri"/>
          <w:spacing w:val="53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s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príslušnými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55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právnymi</w:t>
      </w:r>
      <w:r w:rsidRPr="00FE4465">
        <w:rPr>
          <w:rFonts w:ascii="Calibri" w:eastAsia="Times New Roman" w:hAnsi="Calibri" w:cs="Calibri"/>
          <w:spacing w:val="52"/>
          <w:sz w:val="22"/>
          <w:lang w:eastAsia="sk-SK"/>
        </w:rPr>
        <w:t xml:space="preserve"> 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predpismi</w:t>
      </w:r>
      <w:r w:rsidRPr="00FE4465">
        <w:rPr>
          <w:rFonts w:ascii="Calibri" w:eastAsia="Times New Roman" w:hAnsi="Calibri" w:cs="Calibri"/>
          <w:sz w:val="22"/>
          <w:lang w:eastAsia="sk-SK"/>
        </w:rPr>
        <w:t xml:space="preserve"> SR a</w:t>
      </w:r>
      <w:r w:rsidRPr="00FE4465">
        <w:rPr>
          <w:rFonts w:ascii="Calibri" w:eastAsia="Times New Roman" w:hAnsi="Calibri" w:cs="Calibri"/>
          <w:spacing w:val="-1"/>
          <w:sz w:val="22"/>
          <w:lang w:eastAsia="sk-SK"/>
        </w:rPr>
        <w:t> EÚ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shd w:val="clear" w:color="auto" w:fill="FFFFFF"/>
        <w:rPr>
          <w:rFonts w:ascii="Calibri" w:eastAsia="Times New Roman" w:hAnsi="Calibri" w:cs="Calibri"/>
          <w:sz w:val="22"/>
          <w:lang w:eastAsia="sk-SK"/>
        </w:rPr>
      </w:pPr>
      <w:r w:rsidRPr="00FE4465">
        <w:rPr>
          <w:rFonts w:ascii="Calibri" w:eastAsia="Times New Roman" w:hAnsi="Calibri" w:cs="Calibri"/>
          <w:sz w:val="22"/>
          <w:lang w:eastAsia="sk-SK"/>
        </w:rPr>
        <w:t>10. 2. V prípade neschválenia procesu verejného obstarávania objednávateľ si vyhradzuje právo využiť   inštitút odkladacej podmienky   a následne zmluvu   anulovať.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Čl. 11</w:t>
      </w:r>
    </w:p>
    <w:p w:rsidR="00FE4465" w:rsidRPr="00FE4465" w:rsidRDefault="00FE4465" w:rsidP="00FE4465">
      <w:pPr>
        <w:jc w:val="center"/>
        <w:rPr>
          <w:rFonts w:ascii="Calibri" w:eastAsia="Times New Roman" w:hAnsi="Calibri" w:cs="Times New Roman"/>
          <w:b/>
          <w:sz w:val="22"/>
          <w:lang w:eastAsia="sk-SK"/>
        </w:rPr>
      </w:pPr>
      <w:r w:rsidRPr="00FE4465">
        <w:rPr>
          <w:rFonts w:ascii="Calibri" w:eastAsia="Times New Roman" w:hAnsi="Calibri" w:cs="Times New Roman"/>
          <w:b/>
          <w:sz w:val="22"/>
          <w:lang w:eastAsia="sk-SK"/>
        </w:rPr>
        <w:t>Záverečné ustanovenia</w:t>
      </w:r>
    </w:p>
    <w:p w:rsidR="00FE4465" w:rsidRPr="00FE4465" w:rsidRDefault="00FE4465" w:rsidP="00FE4465">
      <w:pPr>
        <w:rPr>
          <w:rFonts w:ascii="Calibri" w:eastAsia="Times New Roman" w:hAnsi="Calibri" w:cs="Times New Roman"/>
          <w:b/>
          <w:sz w:val="22"/>
          <w:lang w:eastAsia="sk-SK"/>
        </w:rPr>
      </w:pP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11.1 Všetky zmeny a dodatky k tejto zmluve musia mať písomnú formu a musia byť podpísané obidvoma zmluvnými stranami. 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>11.2 Zmluva nadobúda platnosť dňom jej podpisu zástupcami zmluvných strán s účinnosťou od prvého dňa nasledujúceho po dni jej zverejnenia .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11.3 Zmluva je vyhotovená v 2 výtlačkoch, po jednom pre obe zmluvné strany. </w:t>
      </w:r>
    </w:p>
    <w:p w:rsidR="00FE4465" w:rsidRPr="00FE4465" w:rsidRDefault="00FE4465" w:rsidP="00FE4465">
      <w:pPr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11.4 Vzťahy touto zmluvou neupravené sa riadia ustanoveniami Obchodného zákonníka. 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V </w:t>
      </w:r>
      <w:r w:rsidR="0037536C">
        <w:rPr>
          <w:rFonts w:ascii="Calibri" w:eastAsia="Times New Roman" w:hAnsi="Calibri" w:cs="Times New Roman"/>
          <w:sz w:val="22"/>
          <w:lang w:eastAsia="sk-SK"/>
        </w:rPr>
        <w:t>Trebišove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dňa ............................                    V ..................................... ............................</w:t>
      </w: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E4465" w:rsidRP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Kupujúci: </w:t>
      </w:r>
      <w:r w:rsidR="00486853">
        <w:rPr>
          <w:rFonts w:ascii="Calibri" w:eastAsia="Times New Roman" w:hAnsi="Calibri" w:cs="Times New Roman"/>
          <w:sz w:val="22"/>
          <w:lang w:eastAsia="sk-SK"/>
        </w:rPr>
        <w:t>PaedDr. Mária Kašaiová</w:t>
      </w:r>
      <w:r w:rsidRPr="00FE4465">
        <w:rPr>
          <w:rFonts w:ascii="Calibri" w:eastAsia="Times New Roman" w:hAnsi="Calibri" w:cs="Times New Roman"/>
          <w:sz w:val="22"/>
          <w:lang w:eastAsia="sk-SK"/>
        </w:rPr>
        <w:t xml:space="preserve">             Predávajúci: ..................................................... </w:t>
      </w:r>
    </w:p>
    <w:p w:rsidR="00FE4465" w:rsidRDefault="00FE4465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</w:p>
    <w:p w:rsidR="00F81ECE" w:rsidRPr="00F81ECE" w:rsidRDefault="00F81ECE" w:rsidP="00F81ECE">
      <w:pPr>
        <w:pStyle w:val="slovannadpisZsnH"/>
      </w:pPr>
    </w:p>
    <w:p w:rsidR="00FE4465" w:rsidRPr="00FE4465" w:rsidRDefault="0037536C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  <w:r>
        <w:rPr>
          <w:rFonts w:ascii="Calibri" w:eastAsia="Times New Roman" w:hAnsi="Calibri" w:cs="Times New Roman"/>
          <w:sz w:val="22"/>
          <w:lang w:eastAsia="sk-SK"/>
        </w:rPr>
        <w:t xml:space="preserve">Prílohy: </w:t>
      </w:r>
    </w:p>
    <w:p w:rsidR="00FE4465" w:rsidRPr="00FE4465" w:rsidRDefault="0037536C" w:rsidP="00FE4465">
      <w:pPr>
        <w:jc w:val="left"/>
        <w:rPr>
          <w:rFonts w:ascii="Calibri" w:eastAsia="Times New Roman" w:hAnsi="Calibri" w:cs="Times New Roman"/>
          <w:sz w:val="22"/>
          <w:lang w:eastAsia="sk-SK"/>
        </w:rPr>
      </w:pPr>
      <w:r>
        <w:rPr>
          <w:rFonts w:ascii="Calibri" w:eastAsia="Times New Roman" w:hAnsi="Calibri" w:cs="Times New Roman"/>
          <w:sz w:val="22"/>
          <w:lang w:eastAsia="sk-SK"/>
        </w:rPr>
        <w:t>Príloha č.1</w:t>
      </w:r>
      <w:r w:rsidR="00A1649A">
        <w:rPr>
          <w:rFonts w:ascii="Calibri" w:eastAsia="Times New Roman" w:hAnsi="Calibri" w:cs="Times New Roman"/>
          <w:sz w:val="22"/>
          <w:lang w:eastAsia="sk-SK"/>
        </w:rPr>
        <w:t>-</w:t>
      </w:r>
      <w:r>
        <w:rPr>
          <w:rFonts w:ascii="Calibri" w:eastAsia="Times New Roman" w:hAnsi="Calibri" w:cs="Times New Roman"/>
          <w:sz w:val="22"/>
          <w:lang w:eastAsia="sk-SK"/>
        </w:rPr>
        <w:t>Návrh plnenia kritérií</w:t>
      </w:r>
      <w:r w:rsidR="00A1649A">
        <w:rPr>
          <w:rFonts w:ascii="Calibri" w:eastAsia="Times New Roman" w:hAnsi="Calibri" w:cs="Times New Roman"/>
          <w:sz w:val="22"/>
          <w:lang w:eastAsia="sk-SK"/>
        </w:rPr>
        <w:t xml:space="preserve"> (cenová ponuka)</w:t>
      </w:r>
    </w:p>
    <w:p w:rsidR="00CE0FCD" w:rsidRDefault="00CE0FCD">
      <w:pPr>
        <w:jc w:val="center"/>
      </w:pPr>
    </w:p>
    <w:sectPr w:rsidR="00CE0FCD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41" w:rsidRDefault="00D45341">
      <w:r>
        <w:separator/>
      </w:r>
    </w:p>
  </w:endnote>
  <w:endnote w:type="continuationSeparator" w:id="0">
    <w:p w:rsidR="00D45341" w:rsidRDefault="00D4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41" w:rsidRDefault="00D45341">
      <w:r>
        <w:separator/>
      </w:r>
    </w:p>
  </w:footnote>
  <w:footnote w:type="continuationSeparator" w:id="0">
    <w:p w:rsidR="00D45341" w:rsidRDefault="00D4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CD" w:rsidRDefault="001C4875">
    <w:pPr>
      <w:pStyle w:val="Hlavika"/>
    </w:pPr>
    <w:r>
      <w:object w:dxaOrig="11488" w:dyaOrig="1324">
        <v:shape id="ole_rId1" o:spid="_x0000_i1025" style="width:504.9pt;height:57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7" ShapeID="ole_rId1" DrawAspect="Content" ObjectID="_17004671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2"/>
      <w:numFmt w:val="decimal"/>
      <w:lvlText w:val="%1"/>
      <w:lvlJc w:val="left"/>
      <w:pPr>
        <w:tabs>
          <w:tab w:val="num" w:pos="0"/>
        </w:tabs>
        <w:ind w:left="1091" w:hanging="71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1" w:hanging="71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51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3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109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95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82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68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654" w:hanging="360"/>
      </w:pPr>
      <w:rPr>
        <w:rFonts w:ascii="Liberation Serif" w:hAnsi="Liberation Serif" w:cs="Liberation Serif" w:hint="default"/>
      </w:rPr>
    </w:lvl>
  </w:abstractNum>
  <w:abstractNum w:abstractNumId="1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Times New Roman" w:hAnsi="Symbol" w:hint="default"/>
        <w:sz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2" w15:restartNumberingAfterBreak="0">
    <w:nsid w:val="3E3E0F18"/>
    <w:multiLevelType w:val="multilevel"/>
    <w:tmpl w:val="98F476DE"/>
    <w:lvl w:ilvl="0">
      <w:start w:val="4"/>
      <w:numFmt w:val="decimal"/>
      <w:lvlText w:val="%1."/>
      <w:lvlJc w:val="left"/>
      <w:pPr>
        <w:ind w:left="495" w:hanging="495"/>
      </w:pPr>
      <w:rPr>
        <w:rFonts w:asciiTheme="minorHAnsi" w:eastAsia="Times New Roman" w:hAnsiTheme="minorHAnsi" w:cstheme="minorHAnsi"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asciiTheme="minorHAnsi" w:eastAsia="Times New Roman" w:hAnsiTheme="minorHAnsi"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cstheme="minorHAnsi" w:hint="default"/>
      </w:r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CD"/>
    <w:rsid w:val="000B2DEA"/>
    <w:rsid w:val="000C4722"/>
    <w:rsid w:val="0017791B"/>
    <w:rsid w:val="001C4875"/>
    <w:rsid w:val="001D3E91"/>
    <w:rsid w:val="00246877"/>
    <w:rsid w:val="00324DE1"/>
    <w:rsid w:val="0037536C"/>
    <w:rsid w:val="003A4A43"/>
    <w:rsid w:val="00486853"/>
    <w:rsid w:val="004F5658"/>
    <w:rsid w:val="00555FD6"/>
    <w:rsid w:val="005C2EB2"/>
    <w:rsid w:val="00637469"/>
    <w:rsid w:val="00683209"/>
    <w:rsid w:val="006B2B4E"/>
    <w:rsid w:val="00811C43"/>
    <w:rsid w:val="00823EF8"/>
    <w:rsid w:val="00865F65"/>
    <w:rsid w:val="00872BB6"/>
    <w:rsid w:val="008E6B3A"/>
    <w:rsid w:val="009251FD"/>
    <w:rsid w:val="00964792"/>
    <w:rsid w:val="009750AB"/>
    <w:rsid w:val="009B687B"/>
    <w:rsid w:val="009E7CCE"/>
    <w:rsid w:val="00A1649A"/>
    <w:rsid w:val="00A263AA"/>
    <w:rsid w:val="00AA747F"/>
    <w:rsid w:val="00CE0FCD"/>
    <w:rsid w:val="00D45341"/>
    <w:rsid w:val="00D829F5"/>
    <w:rsid w:val="00DC5D23"/>
    <w:rsid w:val="00E2125C"/>
    <w:rsid w:val="00E27659"/>
    <w:rsid w:val="00E76683"/>
    <w:rsid w:val="00EB4FF2"/>
    <w:rsid w:val="00EF2A2B"/>
    <w:rsid w:val="00F23B7A"/>
    <w:rsid w:val="00F81ECE"/>
    <w:rsid w:val="00FA6D2D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596E2-DA15-41FA-A618-823F6A3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next w:val="slovannadpisZsnH"/>
    <w:qFormat/>
    <w:rsid w:val="006007C8"/>
    <w:pPr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B7012A"/>
  </w:style>
  <w:style w:type="character" w:customStyle="1" w:styleId="PtaChar">
    <w:name w:val="Päta Char"/>
    <w:basedOn w:val="Predvolenpsmoodseku"/>
    <w:link w:val="Pta"/>
    <w:uiPriority w:val="99"/>
    <w:qFormat/>
    <w:rsid w:val="00B7012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064EE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B7012A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B7012A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paragraph" w:customStyle="1" w:styleId="slovannadpisZsnH">
    <w:name w:val="Číslovaný nadpis ZsnH"/>
    <w:basedOn w:val="Pokraovaniezoznamu"/>
    <w:autoRedefine/>
    <w:qFormat/>
    <w:rsid w:val="009E7CCE"/>
    <w:pPr>
      <w:spacing w:before="280" w:beforeAutospacing="1"/>
      <w:ind w:left="0"/>
      <w:jc w:val="right"/>
    </w:pPr>
    <w:rPr>
      <w:rFonts w:asciiTheme="minorHAnsi" w:hAnsiTheme="minorHAnsi" w:cstheme="minorHAnsi"/>
      <w:b/>
      <w:bCs/>
      <w:sz w:val="20"/>
      <w:szCs w:val="20"/>
      <w:lang w:eastAsia="sk-SK"/>
    </w:rPr>
  </w:style>
  <w:style w:type="paragraph" w:styleId="Pokraovaniezoznamu">
    <w:name w:val="List Continue"/>
    <w:basedOn w:val="Normlny"/>
    <w:uiPriority w:val="99"/>
    <w:semiHidden/>
    <w:unhideWhenUsed/>
    <w:qFormat/>
    <w:rsid w:val="006007C8"/>
    <w:pPr>
      <w:spacing w:after="120"/>
      <w:ind w:left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064EE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54B86"/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679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4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t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1CC2-A6D0-4B1F-97FA-4639D59B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Sokolova</dc:creator>
  <dc:description/>
  <cp:lastModifiedBy>Anna Sokolová</cp:lastModifiedBy>
  <cp:revision>81</cp:revision>
  <cp:lastPrinted>2019-12-06T10:44:00Z</cp:lastPrinted>
  <dcterms:created xsi:type="dcterms:W3CDTF">2019-11-04T13:38:00Z</dcterms:created>
  <dcterms:modified xsi:type="dcterms:W3CDTF">2021-12-08T10:13:00Z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